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62BB" w14:textId="77777777" w:rsidR="00202E4F" w:rsidRPr="00202E4F" w:rsidRDefault="00202E4F" w:rsidP="00202E4F">
      <w:pP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noProof/>
          <w:color w:val="333333"/>
          <w:kern w:val="0"/>
          <w:sz w:val="24"/>
          <w:szCs w:val="24"/>
          <w:lang w:val="ro-RO" w:eastAsia="ro-RO"/>
          <w14:ligatures w14:val="none"/>
        </w:rPr>
        <w:drawing>
          <wp:inline distT="0" distB="0" distL="0" distR="0" wp14:anchorId="6E4BCCA5" wp14:editId="527F9243">
            <wp:extent cx="762000" cy="965200"/>
            <wp:effectExtent l="0" t="0" r="0" b="6350"/>
            <wp:docPr id="1" name="Picture 1" descr="A colorful emblem with a bull hea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emblem with a bull hea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5475" w14:textId="77777777" w:rsidR="00202E4F" w:rsidRPr="00202E4F" w:rsidRDefault="00202E4F" w:rsidP="00202E4F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Республика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Молдова</w:t>
      </w:r>
      <w:proofErr w:type="spellEnd"/>
    </w:p>
    <w:p w14:paraId="1D74F302" w14:textId="77777777" w:rsidR="00202E4F" w:rsidRPr="00202E4F" w:rsidRDefault="00202E4F" w:rsidP="00202E4F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НАЦИОНАЛЬНЫЙ БАНК</w:t>
      </w:r>
    </w:p>
    <w:p w14:paraId="2A9B59C9" w14:textId="77777777" w:rsidR="00202E4F" w:rsidRPr="00202E4F" w:rsidRDefault="00202E4F" w:rsidP="00202E4F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ПОСТАНОВЛЕНИЕ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 № 200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br/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09-08-2018</w:t>
      </w:r>
    </w:p>
    <w:p w14:paraId="24D0477E" w14:textId="77777777" w:rsidR="00202E4F" w:rsidRPr="00202E4F" w:rsidRDefault="00202E4F" w:rsidP="00202E4F">
      <w:pPr>
        <w:shd w:val="clear" w:color="auto" w:fill="FFFFFF"/>
        <w:spacing w:before="165" w:after="165"/>
        <w:jc w:val="center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утверждении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требованиях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br/>
        <w:t xml:space="preserve">в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с</w:t>
      </w: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br/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и  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br/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lang w:val="ro-RO" w:eastAsia="ro-RO"/>
          <w14:ligatures w14:val="none"/>
        </w:rPr>
        <w:t>банков</w:t>
      </w:r>
      <w:proofErr w:type="spellEnd"/>
    </w:p>
    <w:p w14:paraId="65536D96" w14:textId="77777777" w:rsidR="00202E4F" w:rsidRPr="00202E4F" w:rsidRDefault="00202E4F" w:rsidP="00202E4F">
      <w:pPr>
        <w:shd w:val="clear" w:color="auto" w:fill="FFFFFF"/>
        <w:spacing w:before="165" w:after="165"/>
        <w:outlineLvl w:val="3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Опубликован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: 24-08-2018 в Monitorul Oficial № 321-332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>статья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val="ro-RO" w:eastAsia="ro-RO"/>
          <w14:ligatures w14:val="none"/>
        </w:rPr>
        <w:t xml:space="preserve"> № 1311</w:t>
      </w:r>
    </w:p>
    <w:p w14:paraId="4C9FF1E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ИЗМЕНЕНО</w:t>
      </w:r>
    </w:p>
    <w:p w14:paraId="2F0FFFA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hyperlink r:id="rId5" w:history="1"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ПНБ8 </w:t>
        </w:r>
        <w:proofErr w:type="spellStart"/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от</w:t>
        </w:r>
        <w:proofErr w:type="spellEnd"/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 13.01.25,</w:t>
        </w:r>
        <w:r w:rsidRPr="00202E4F">
          <w:rPr>
            <w:rFonts w:asciiTheme="minorHAnsi" w:eastAsia="Times New Roman" w:hAnsiTheme="minorHAnsi" w:cstheme="minorHAnsi"/>
            <w:color w:val="0000FF"/>
            <w:kern w:val="0"/>
            <w:sz w:val="24"/>
            <w:szCs w:val="24"/>
            <w:lang w:val="ro-RO" w:eastAsia="ro-RO"/>
            <w14:ligatures w14:val="none"/>
          </w:rPr>
          <w:t> </w:t>
        </w:r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MO8-10/16.01.25 </w:t>
        </w:r>
        <w:proofErr w:type="spellStart"/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ст</w:t>
        </w:r>
        <w:proofErr w:type="spellEnd"/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 xml:space="preserve">. 24; в </w:t>
        </w:r>
        <w:proofErr w:type="spellStart"/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>силу</w:t>
        </w:r>
        <w:proofErr w:type="spellEnd"/>
        <w:r w:rsidRPr="00202E4F">
          <w:rPr>
            <w:rFonts w:asciiTheme="minorHAnsi" w:eastAsia="Times New Roman" w:hAnsiTheme="minorHAnsi" w:cstheme="minorHAnsi"/>
            <w:i/>
            <w:iCs/>
            <w:color w:val="0000FF"/>
            <w:kern w:val="0"/>
            <w:sz w:val="24"/>
            <w:szCs w:val="24"/>
            <w:lang w:val="ro-RO" w:eastAsia="ro-RO"/>
            <w14:ligatures w14:val="none"/>
          </w:rPr>
          <w:t xml:space="preserve"> с 16.01.25</w:t>
        </w:r>
      </w:hyperlink>
    </w:p>
    <w:p w14:paraId="13CFE0F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8F562A1" w14:textId="77777777" w:rsidR="00202E4F" w:rsidRPr="00202E4F" w:rsidRDefault="00202E4F" w:rsidP="00202E4F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68D59599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ЗАРЕГИСТРИРОВАНО:</w:t>
      </w:r>
    </w:p>
    <w:p w14:paraId="64D909FD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Министерство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юстиции</w:t>
      </w:r>
      <w:proofErr w:type="spellEnd"/>
    </w:p>
    <w:p w14:paraId="75610EF7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</w:p>
    <w:p w14:paraId="278814B1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№ 1354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21.08.2018 г.</w:t>
      </w:r>
    </w:p>
    <w:p w14:paraId="2A8E80A0" w14:textId="77777777" w:rsidR="00202E4F" w:rsidRPr="00202E4F" w:rsidRDefault="00202E4F" w:rsidP="00202E4F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37E9480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ст.11, п. с)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ст.27, и п. а) и d) ст.44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548-XIII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июля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1995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повторное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2015 г., № 297-300,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544),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95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202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октября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2017, № 434-439,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727)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(3) и (14) ст.13,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ст.15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2018, № 58-66, ст.133),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ПОСТАНОВЛЯЕТ:</w:t>
      </w:r>
    </w:p>
    <w:p w14:paraId="0B7DF0F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Утвердить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приложению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992103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вступает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384072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B1478C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ПРЕДСЕДАТЕЛЬ</w:t>
      </w:r>
    </w:p>
    <w:p w14:paraId="4B69667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 КОМИТЕТА</w:t>
      </w:r>
    </w:p>
    <w:p w14:paraId="258DDC9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 БАНКА</w:t>
      </w:r>
    </w:p>
    <w:p w14:paraId="4E539CF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МОЛДОВЫ                                                                     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Серджиу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ЧОКЛЯ</w:t>
      </w:r>
    </w:p>
    <w:p w14:paraId="78BA687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224716F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№ 200.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Кишинэу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9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августа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2018 г.</w:t>
      </w:r>
    </w:p>
    <w:p w14:paraId="1C48EB4F" w14:textId="77777777" w:rsidR="00202E4F" w:rsidRPr="00202E4F" w:rsidRDefault="00202E4F" w:rsidP="00202E4F">
      <w:pPr>
        <w:spacing w:before="2" w:after="2"/>
        <w:ind w:firstLine="851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</w:p>
    <w:p w14:paraId="3477E68E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Приложение</w:t>
      </w:r>
      <w:proofErr w:type="spellEnd"/>
    </w:p>
    <w:p w14:paraId="76D4998B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</w:p>
    <w:p w14:paraId="55136008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</w:p>
    <w:p w14:paraId="6357FA88" w14:textId="77777777" w:rsidR="00202E4F" w:rsidRPr="00202E4F" w:rsidRDefault="00202E4F" w:rsidP="00202E4F">
      <w:pPr>
        <w:spacing w:before="2" w:after="2"/>
        <w:ind w:firstLine="851"/>
        <w:jc w:val="right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№ 200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августа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2018 г.</w:t>
      </w:r>
    </w:p>
    <w:p w14:paraId="41331543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</w:p>
    <w:p w14:paraId="5FC38DB8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о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</w:p>
    <w:p w14:paraId="6C20B8A3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с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</w:p>
    <w:p w14:paraId="3E583B87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в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</w:t>
      </w:r>
      <w:proofErr w:type="spellEnd"/>
    </w:p>
    <w:p w14:paraId="59F07CB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перелагает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(ЕС) №2015/847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Европейского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2015 г.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отмене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(ЕС) № 1781/2006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ЕЭЗ),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журнале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Европейского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Союза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 141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июня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9EC532F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</w:t>
      </w:r>
    </w:p>
    <w:p w14:paraId="7A403DD0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ОБЩИЕ ПОЛОЖЕНИЯ</w:t>
      </w:r>
    </w:p>
    <w:p w14:paraId="0D904BA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3B204B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F6C37F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202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октября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114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2012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5AC349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существенных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A6A0BE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меньшей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идентичны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дебетование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157533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(LEI) — 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буквенно-цифровой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ISO 17442,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присваиваемый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E213F8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[Пкт.3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понятие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 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C8ED4E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групповой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картотеки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batch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file)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сгруппированы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E8A072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пакетный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файл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текстовый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файл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последовательность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команд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компьютерной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041DC7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корреспондентские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payable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through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accounts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иностранного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9B3343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международные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созданные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государствами-членами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статус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признано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странах-членах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рассматривается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институциональные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единицы-резиденты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Объединенных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ОБСЕ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.).​</w:t>
      </w:r>
    </w:p>
    <w:p w14:paraId="4AE624C6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II</w:t>
      </w:r>
    </w:p>
    <w:p w14:paraId="7A1DAC1F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</w:p>
    <w:p w14:paraId="5F612C8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разрабатывает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внутреннюю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DF710D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привлечением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ресурсов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A4DC5F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4B1A2D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правовым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DC054B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проводит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93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просьбе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аудиторскую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93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просьбе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упомянутых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Инструкцией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пруденциальных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Административного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279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2011 г.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2011 г., № 216-221,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2008),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67FB991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III</w:t>
      </w:r>
    </w:p>
    <w:p w14:paraId="7CFEC085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К ВНУТРЕННЕЙ ПРОГРАММЕ ПО</w:t>
      </w:r>
    </w:p>
    <w:p w14:paraId="542CAE25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ПРЕДУПРЕЖДЕНИЮ И БОРЬБЕ С ОТМЫВАНИЕМ</w:t>
      </w:r>
    </w:p>
    <w:p w14:paraId="512196C9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 И ФИНАНСИРОВАНИЕМ ТЕРРОРИЗМА</w:t>
      </w:r>
    </w:p>
    <w:p w14:paraId="10A2729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Внутренняя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поддерживающие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профессионализма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секторе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организованными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преступными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группировками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соучастниками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осмотрительностью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312CEF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разрабатывает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выпущенные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общепринятой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Базельского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(GAFI).</w:t>
      </w:r>
    </w:p>
    <w:p w14:paraId="439AB7D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величина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предлагаемые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географическая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218B925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Внутренняя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279E84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9D0A90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разграничением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наделенного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депозитов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выдаче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возврату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профессиональными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посредниками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посреднической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автоматизированного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обслуживания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расстоянии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альтернативные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торговли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аккредитивы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выпуск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облигаций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брокерские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фидуциарного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.;</w:t>
      </w:r>
    </w:p>
    <w:p w14:paraId="74F09AE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​b)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D7467D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​c)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C072C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ресурсов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2FF332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35B0FC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иерархических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77820C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обозначенными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п. e),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68D441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g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79CDC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недостатков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FD7C6D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3F53DC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хотя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намеревается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привлечь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иерархический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присущего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250541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присущего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EB5AFF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3B2BB15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неординарных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63FACC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3D3208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неординарных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593F8F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8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клиентов-резидентов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авторизованными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8C3FE3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1FC6B0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несоблюдении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BA1FC3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0550D8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отбора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9F4447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приобретенных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AF355F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пересматривает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внутреннюю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43571D7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IV</w:t>
      </w:r>
    </w:p>
    <w:p w14:paraId="415D3D24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 РИСКОВ ОТМЫВАНИЯ ДЕНЕГ</w:t>
      </w:r>
    </w:p>
    <w:p w14:paraId="30FF679E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 ФИНАНСИРОВАНИЯ ТЕРРОРИЗМА.</w:t>
      </w:r>
    </w:p>
    <w:p w14:paraId="5136F48F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 К РИСКУ</w:t>
      </w:r>
    </w:p>
    <w:p w14:paraId="4450FBD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угрозы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фиксируются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1D99A6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15.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ежегодно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меньшей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404551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географические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зоны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влияние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540B20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DF9FD7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A7CEF0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5EADFF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выпуска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развития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E9F13A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находящихся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развитии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7C27A9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17.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переменных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AE5A2D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18.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реализацию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риск-ориентированного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ресурсов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материальных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человеческих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ресурсов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6A3C2A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статистические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</w:p>
    <w:p w14:paraId="736E75C0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</w:t>
      </w:r>
    </w:p>
    <w:p w14:paraId="6FA829BA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 ПРЕДОСТОРОЖНОСТИ</w:t>
      </w:r>
    </w:p>
    <w:p w14:paraId="2155C2D4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В ОТНОШЕНИИ КЛИЕНТОВ</w:t>
      </w:r>
    </w:p>
    <w:p w14:paraId="721FF509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</w:t>
      </w:r>
    </w:p>
    <w:p w14:paraId="4F08590C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</w:p>
    <w:p w14:paraId="0E4D081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подвергнуть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рассматривается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крайней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вопросам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опыт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Рекомендаций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подхода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C3C0EF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этапов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звена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716941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уничтожения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перечисленными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34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отказе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83CDE7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широкой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22F9BCE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</w:t>
      </w:r>
    </w:p>
    <w:p w14:paraId="7778EB20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</w:p>
    <w:p w14:paraId="74E11AC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ACDCB5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3FFA51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помощью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тысяч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16D82B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каких-либо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освобождений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пороговых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13D00D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C555DA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валютообменные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10000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курсом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молдавского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иностранным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содержащихся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1F739B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25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предлагаемого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сбыта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46F18F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26.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хотя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51CDD7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F69319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1A138E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110490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гражданство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(IDNP,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серия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выдачи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выдавшего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содержащиеся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фотографией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владельца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28CEBFA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домашний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E9C2EC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занимаемая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8BB8DD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дохода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E3C589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C20D9D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депонированных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намеченных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3515C7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35592A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4E804C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0D418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(IDNO)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фискальный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сертификату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выписке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наделенным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B96D69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24B2575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указывается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68CC5B5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2D9438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f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руководящие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представительские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400052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вытекающие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FD2A01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E541A3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i)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депонированных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намеченных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B7ED96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C66C5B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доказательство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доверительный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DBAF49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845FDC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задача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произвольное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завещательное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.);</w:t>
      </w:r>
    </w:p>
    <w:p w14:paraId="20267D1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патрона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классов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конечном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итоге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подобных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7F9A7AA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описание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45F5C0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депонированных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намеченных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95BA91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26,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C733BB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BC78DB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мужа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предыдущая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прозвище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719466F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рабочий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почтовый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индекс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мобильного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53F087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статус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нерезидента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E359FD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2A42D62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работодателя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11F3D9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68B6B8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транзитирующих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DA8FC6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6E8A80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6830AD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C44462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c) -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утратилa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243404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</w:t>
      </w:r>
      <w:proofErr w:type="spellEnd"/>
    </w:p>
    <w:p w14:paraId="1905809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поступивших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транзитирующих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3220AE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C09EE2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почты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4032A8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b) -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утратилa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882BF3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AEEF38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транзитирующих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C016BC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28.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бюро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валютообменных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аппаратов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III и IV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D90235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разумные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уверенность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описанные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a)-f) подп.1)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26,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a)-f) подп.1)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27.</w:t>
      </w:r>
    </w:p>
    <w:p w14:paraId="4DA93C2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30.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сокрытии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возможные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29,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исчерпаны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выясняется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мажоритарным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акционером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прямой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считается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накопленные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статуса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бенефициара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свидетельствуют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исчерпании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возможных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преследующих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извлечения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некоммерческих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распределение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 5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№308/2017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075021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держателем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пакета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бумаги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регламентированном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рынке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многосторонней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торговой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налагает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раскрытию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надлежащей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прозрачности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мажоритарным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капиталом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кого-либо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акционеров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подобных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3DD7A4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инициирующее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декларация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а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инициирование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доверенность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Декларация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п. a)-f)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26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п. a)-f)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27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2A9CF4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относящуюся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выгодоприобретащему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782124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25,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низким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403802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35.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пропорциональны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вызывают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5588D6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1362A9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фотографию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владельца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паспорт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жительство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д.;</w:t>
      </w:r>
    </w:p>
    <w:p w14:paraId="260DED0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свидетельство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паспорт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жительство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д.;</w:t>
      </w:r>
    </w:p>
    <w:p w14:paraId="7F4BFD0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нотариусами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посольствами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.;</w:t>
      </w:r>
    </w:p>
    <w:p w14:paraId="21364E8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квитанций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коммунальные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уплате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налогов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B6E92C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отправкой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e-mail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1C0226C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99565A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безопасных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бюро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историй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1369593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уверен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B913B0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занимающегося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адвокаты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бухгалтеры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.);</w:t>
      </w:r>
    </w:p>
    <w:p w14:paraId="1D92220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учредительного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меморандума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ассоциации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A315AD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27799B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пересмотр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последних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вновь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созданному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занимающимся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подведомственных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150DB9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расследования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неплатежеспособности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ликвидации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продажи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устранения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проблем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60629F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583F1D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контактирование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факсу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почтовых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e-mail,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веб-странице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встречи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предпринимателем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занимающимся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1E0D51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95B97F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трастов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конструкций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владельца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доверительный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декларация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доверии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благотворительных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9E2AD6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знакомой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хорошей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адвокатская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бухгалтерская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824642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722E41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поиск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09426F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EA85DF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1).</w:t>
      </w:r>
    </w:p>
    <w:p w14:paraId="4C29FDC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изложенные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1F9EA4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обращает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B9C781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агентства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посещение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проживания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CB8A25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0239B29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A85E90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дохода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E48BF8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занятости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7E7973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действительны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складируются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архивируются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обозначенными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администратором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бенефициаром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AA22E9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38.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оригинале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фотокопии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фотокопий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оригиналов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фотокопий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оригиналами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удаленной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AE152F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39.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пересматривает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пониженным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один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предыдущее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неприменение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1394D04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</w:t>
      </w:r>
    </w:p>
    <w:p w14:paraId="5E4C4028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</w:p>
    <w:p w14:paraId="2E46371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40.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охватывают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6BC512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обычных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18269A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подробное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протяжении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уверенности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/ИТ–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автоматизированные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пороговых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уделяется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пороговые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преследующим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преследуют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крупные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несоответствующие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ожиданиям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являющиеся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обычным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531B609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актуализированными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собранные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C555A8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выделены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файле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17F709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10F58D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4D070A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B7F494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оказывает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внимание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неординарным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по-видимому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констатации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подобных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счета-фактуры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накладные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отгрузочные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таможенные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декларации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справки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заработной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налоговые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4D2B1DF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42.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воздерживается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рабочих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указывающих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правонарушения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ходе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попытки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A2A035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инициативе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инициативе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8CE322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44.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у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понимания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96732C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42,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освобождают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разработанной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12.</w:t>
      </w:r>
    </w:p>
    <w:p w14:paraId="3713B4A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A05C1D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какую-либо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25-29, 34, 35, 40 и 41;</w:t>
      </w:r>
    </w:p>
    <w:p w14:paraId="19E9E27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прекратить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25-29, 34, 35, 40 и 41;</w:t>
      </w:r>
    </w:p>
    <w:p w14:paraId="3CA0EFA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обоснованно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полагает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25-29, 34, 35, 40 и 41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приведет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неразглашении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завершать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15C08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доклада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1), 2) и 21)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объяснять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причину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отказа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E87574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ячейки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сберегательными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книжками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производит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фиктивному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92D0C8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47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клиентов-нерезидентов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0464B91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</w:t>
      </w:r>
    </w:p>
    <w:p w14:paraId="53CDE02D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полученная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у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третьих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</w:p>
    <w:p w14:paraId="1C1E0AC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48.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прибегнуть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25, 26, 27, 29, 34 и 35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78FFB0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подотчетными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находящимися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, и;</w:t>
      </w:r>
    </w:p>
    <w:p w14:paraId="799E6F7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E2646D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48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обращающиеся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немедленно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D77E16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25, 26, 27, 29, 34 и 35;</w:t>
      </w:r>
    </w:p>
    <w:p w14:paraId="6B0ECA3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25, 26, 27, 29, 34 и 35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1716B3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конечную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25-27, 29, 34 и 35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обращения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72BDE59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VI</w:t>
      </w:r>
    </w:p>
    <w:p w14:paraId="18FDD859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 УПРОЩЕННОЙ ПРЕДОСТОРОЖНОСТИ</w:t>
      </w:r>
    </w:p>
    <w:p w14:paraId="5D6183E7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 ОТНОШЕНИИ КЛИЕНТОВ</w:t>
      </w:r>
    </w:p>
    <w:p w14:paraId="010E304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50.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пониженный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85DE05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25,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474425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прерывать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нормальную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коммерческую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B212B8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28FB33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DDAD7E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F9AEA4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скорее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первоначального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позднее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проводить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особые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значимые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т. д.),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51B7D3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порождают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A9E85E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предприятием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E831B1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долевым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регламентированном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рынке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/в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многосторонней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торговой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налагает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раскрытию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надлежащей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прозрачности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биржи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применимым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6B277E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резидентом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4) и 5),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7AF98A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стандартам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подвергается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профильными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67F816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низкий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коррупции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криминальности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49329C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круга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инклюзивности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CB5778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Исходя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накапливает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вышеуказанным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8B83D0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52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демонстрирует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низкого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покупке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товаров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эмитента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114/2012,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выкупа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стоимости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дистанционных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F0A297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максимальная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хранящаяся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3E5474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стоимость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ежемесячных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DEBECC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эмитент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EE71F1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упрощенной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3A0101E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VI</w:t>
      </w:r>
    </w:p>
    <w:p w14:paraId="3E971E2C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 ПОВЫШЕННОЙ ПРЕДОСТОРОЖНОСТИ</w:t>
      </w:r>
    </w:p>
    <w:p w14:paraId="466D5E91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 ОТНОШЕНИИ КЛИЕНТОВ</w:t>
      </w:r>
    </w:p>
    <w:p w14:paraId="6CD1BFA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степенью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доходов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экономических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правдоподобности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объяснений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пороговых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категориям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5B382B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основываясь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порождают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порождают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12A9FD0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необычных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значительное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географическое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расстояние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1E5D7E0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проживают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высоким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3B926D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кроме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помощью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112E9F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ролью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DA6212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уполномоченными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акционерами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95314E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пропорциях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356019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структура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необычными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чрезмерно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87DA9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персонализированного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портфеля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7DAB44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публичные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декларации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GAFI,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взаимные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опубликованные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подробные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располагают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C43735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эмбарго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профильными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взятыми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себя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2ADB9F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высокий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коррупции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преступной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DC4D46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поддержку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обозначенные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3158E2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могут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способствовать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CFAFEA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расстоянии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подпись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408250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неизвестных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сторон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неаффилированных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7809D7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16)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трансграничные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payable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through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accounts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2C267D2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16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авторизованных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B9B481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17)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F29397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18)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торговые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практики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распределения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стадии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развития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продуктов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B8DD93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19)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прочие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факторы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BD3680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продуктами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каналом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распределения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переменные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переменные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себя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крайней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849B15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E258C0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внесенных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178F90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8F736C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предполагают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EFD159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оборот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интернете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E32C6A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CFCE63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D18A02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находящейся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стадии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завершенной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4C3C4C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,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делегирования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полномочий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61591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увеличения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частоты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длительности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отбора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нуждающихся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рассмотрении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2A2B94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произведена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7AB3D1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специализированных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F53D38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вовлекают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DE6E50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10)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трансграничных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окончание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неадекватного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несоблюдения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–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партнером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DECB7C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571 - 622.</w:t>
      </w:r>
    </w:p>
    <w:p w14:paraId="2D53014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57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клиентами-резидентами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виртуальных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авторизованных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465767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клиентов-резидентов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37F3D8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совокупным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совокупно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50000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клиента-резидента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3682CA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допускает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E85B68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специализированные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ИТ-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задействованных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прослеживаемости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AB7DA7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58.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55,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e-mail,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интернету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механизмов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подписи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биометрических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сессионных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ключей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визита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A44F26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инстанцией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образец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подписи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213435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80B1AC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D0E0FC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подвержен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F80A2A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расстоянии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4EBEA0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59.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трансграничных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накапливает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понять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сферу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97F06A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9303B1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A58DC0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DFE6C4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48D01A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являлся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рассмотрения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исправительных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084B13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D90680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7F27E9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CF0839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контексте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«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»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заключает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договора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корреспондентского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1F3F11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60.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семей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6741D8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F9C88C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338D70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релевантную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ссылку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общественности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коммерческой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69DBDA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руководящую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выгодоприобретабющий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впоследствии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C81533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ценностей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8610FD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семьи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EA85AF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проводит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BB62BE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60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семей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известно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60,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истечении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по-прежнему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политически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уязвимыми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6BF91B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61. -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утратил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E45EDE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обозначенных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ФАТФ,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усиленным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запрошенными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BC56BC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FC45A2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AC27D9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внешнего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расположенного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2259601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закрытие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расположенного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59C79EA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62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A1E6022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VIII</w:t>
      </w:r>
    </w:p>
    <w:p w14:paraId="5A5ACEAB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ПО ИНФОРМАЦИИ,</w:t>
      </w:r>
    </w:p>
    <w:p w14:paraId="68B7598C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СОПРОВОЖДАЮЩЕЙ ПЕРЕВОД СРЕДСТВ</w:t>
      </w:r>
    </w:p>
    <w:p w14:paraId="5CF3517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банком-посредником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D89E50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мобильного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цифрового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постоплаченного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постпейд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2E24155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исключительно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оплаты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товаров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 и</w:t>
      </w:r>
    </w:p>
    <w:p w14:paraId="39543FC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вытекающие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01F17C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Несмотря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карточка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инструмент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мобильный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телефон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цифровое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предоплаченное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постоплаченное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устройство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тип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постпейд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аналогичными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характеристиками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физическими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потребителей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отличных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коммерческой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профессиональной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промышленную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ремесленную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3DFCB0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[Пкт.64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B7D1CD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9C7643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снятие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15BF67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пользу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уплаты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налогов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штрафов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сборов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00BB37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своего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BF17DF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изображениями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укороченные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A7AC92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[Пкт.65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3845F4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65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к:</w:t>
      </w:r>
    </w:p>
    <w:p w14:paraId="2848B6E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перечисленным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1)–13) и 15)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114/2012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деньгах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89EBDE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кроме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преобразования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бумажного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носителя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занимаются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кроме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поддержки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передачи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компенсации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возмещения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CE7060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[Пкт.65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5E00C18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</w:t>
      </w:r>
    </w:p>
    <w:p w14:paraId="0F3CD9BA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</w:p>
    <w:p w14:paraId="2C79625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сопровождались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47BEEFD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0304AA9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511D46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адрес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например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IDNP/IDNO)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альтернативного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80F247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текущий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формате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77F6523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[Пкт.66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3FBD5E0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сопровождались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ECDF09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D94935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7E58EC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текущий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формате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LEI,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идентификатор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CA3532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[Пкт.67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0B966A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68.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67,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единым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идентификационным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вместо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).</w:t>
      </w:r>
    </w:p>
    <w:p w14:paraId="73A478D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07BC142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69.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 и,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достоверного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55E5D1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[Пкт.69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026CA7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69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69,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считается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V-VII и X.</w:t>
      </w:r>
    </w:p>
    <w:p w14:paraId="0B31580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[Пкт.69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F09B0A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70.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 и,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ущерба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дебетовых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присвоении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IBAN,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108/2023,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расположен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вместе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1CA901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[Пкт.70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4305CC3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70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69,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70,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07762D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получил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</w:p>
    <w:p w14:paraId="0F17D9A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обоснованные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105A5B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[Пкт.70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0B2892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71.В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пакетного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файла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сгруппированным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переработанный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пакетного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файла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67 и 68,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69 и 69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сопровождались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ссылки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C45C30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[Пкт.71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изменен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6B573C8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отступление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 и 67 и,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ущерба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кредитовом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дебетовании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присвоении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IBAN,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Постановлением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комитета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108/2023,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участвующие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цепочке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рабочих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промежуточного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CB908B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66-68,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190250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68,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уникальный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70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1E9618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[Пкт.71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14E2AD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соблюдаются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66-71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ECD5A0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[Пкт.72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0704E2F8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</w:t>
      </w:r>
    </w:p>
    <w:p w14:paraId="6183FEB0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</w:p>
    <w:p w14:paraId="1FCE816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где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последующий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режиме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относящиеся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67,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68, 70, 71 и 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048041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[Пкт.73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5D2E4B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74.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20 000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зарегистрировать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средства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67,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68, 70, 71 и 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источника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69D16F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[Пкт.74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4386336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75.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превышают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лимит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74,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74,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E6FE3E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анонимной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</w:p>
    <w:p w14:paraId="758789D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обоснованные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BC08E7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[Пкт.75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52576D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75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74 и 75,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считается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V-VII и X.</w:t>
      </w:r>
    </w:p>
    <w:p w14:paraId="194DF93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[Пкт.75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введен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F5D9EC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12,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приостановить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дальнейших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„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5A0E0D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[Пкт.76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7DE091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67,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68, 70, 71 и 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 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неполными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73,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C10B78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[Пкт.77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785D00D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78.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упускает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требуемую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банк-получатель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состоят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во-первых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вынесении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происходящих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прекратить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коммерческие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ситуациях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2F639A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[Пкт.78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B0EBE1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78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одновременно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недостающую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FA067C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[Пкт.78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7BB1AAF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Раздел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</w:t>
      </w:r>
    </w:p>
    <w:p w14:paraId="4FFB850A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банка-посредника</w:t>
      </w:r>
      <w:proofErr w:type="spellEnd"/>
    </w:p>
    <w:p w14:paraId="7F2BA5D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79.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где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последующий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режиме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реального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относящиеся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используемой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67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68, 70, 71 и 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 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сопровождающая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сохранялась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вместе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8857DA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[Пкт.79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443215A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[Пкт.80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утратил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FF0000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5075AB6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приостановить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дальнейших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«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D3D019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[Пкт.81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38736ED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66,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1)-3), 67,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1)-2), 68, 70, 71 и 71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отсутствует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неполная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заполнена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символов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совместимых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соглашениями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73 и 79,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запрашивает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зависимости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F6F747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[Пкт.82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31D49F1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83.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осуществляющий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упускает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поставлять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банк-посредник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состоят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во-первых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вынесении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некоторых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отклонения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происходящих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либо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прекратить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коммерческие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поставщиком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Промежуточный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упущениях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предпринятых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4E86B0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[Пкт.83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35FE44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недостающую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плательщике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любая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транзакция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проинформировать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308/2017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0C58316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[Пкт.84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редакции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ПНБ8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13.01.25, MO8-10/16.01.25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24; в </w:t>
      </w:r>
      <w:proofErr w:type="spellStart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силу</w:t>
      </w:r>
      <w:proofErr w:type="spellEnd"/>
      <w:r w:rsidRPr="00202E4F">
        <w:rPr>
          <w:rFonts w:asciiTheme="minorHAnsi" w:eastAsia="Times New Roman" w:hAnsiTheme="minorHAnsi" w:cstheme="minorHAnsi"/>
          <w:i/>
          <w:iCs/>
          <w:color w:val="0000FF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16.01.25]</w:t>
      </w:r>
    </w:p>
    <w:p w14:paraId="2442B02C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IX</w:t>
      </w:r>
    </w:p>
    <w:p w14:paraId="2D6D3EE9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ОТЧЕТЫ О ДЕЯТЕЛЬНОСТИ И СДЕЛКАХ</w:t>
      </w:r>
    </w:p>
    <w:p w14:paraId="5313299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ст.11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о:</w:t>
      </w:r>
    </w:p>
    <w:p w14:paraId="212F617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ценностях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правонарушениями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обстоятельств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порождающих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1BBFE3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200 000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нескольких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начиная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заканчивая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последним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–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415070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посредством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200 000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подпадающих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-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10-го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BAAEF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через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сумму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40 000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эквивалента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-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5D63DDF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7108A8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четкими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исходя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доведенными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предусматривающими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правонарушениях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0A0045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критериям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5D32B2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звена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охраны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проблемах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12BAE84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</w:t>
      </w:r>
    </w:p>
    <w:p w14:paraId="63D2F580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 ДАННЫХ</w:t>
      </w:r>
    </w:p>
    <w:p w14:paraId="2F21151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помощью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электронных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дистанционной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копии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удостоверяющих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переписка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проведенных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анализов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исследований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активного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3336BF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88.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06C20E0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регистра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: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IDNO/IDNP,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DA0922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всех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первичных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41304A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8A686D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вид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записки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сложных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неординарных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47907A1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4)1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когда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технические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передавать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всю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учреждению-посреднику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CA7B75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архивирование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корреспонденции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информационных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технологий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(ИТ)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архива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надежности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оперативного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931644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89.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оперативную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доступность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наличие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выгодоприобретающих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подтверждающих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Сохраняемых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достаточными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чтобы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было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восстановить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каждую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доказательством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судебных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разбирательствах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(21)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быть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продлен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период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запросе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6E14300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</w:t>
      </w:r>
    </w:p>
    <w:p w14:paraId="5AD421DA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ПО СИСТЕМЕ ВНУТРЕННЕГО</w:t>
      </w:r>
    </w:p>
    <w:p w14:paraId="172393A5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</w:p>
    <w:p w14:paraId="4AE3E68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90.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присущих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4107F4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пребывания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пребывания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недостаточны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юрисдикция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Республики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снижения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месяцев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несоблюдения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отозвать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выданное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разрешение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27EE6D6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92.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сообщает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собственной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рамках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подведомственных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расположенных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рубежом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филиалами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подведомственными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условиях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00E8CAC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92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18"/>
          <w:szCs w:val="18"/>
          <w:shd w:val="clear" w:color="auto" w:fill="FFFFFF"/>
          <w:vertAlign w:val="superscript"/>
          <w:lang w:val="ro-RO" w:eastAsia="ro-RO"/>
          <w14:ligatures w14:val="none"/>
        </w:rPr>
        <w:t>1</w:t>
      </w: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открытия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филиалов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территории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государств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финансовой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помимо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п. 93-95,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7DB75E5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предосторожности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управления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EAB6F6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​​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1DE679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конфиденциальности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подлежащей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обмену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банковской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тайной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порядок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обработки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1C39C2B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Система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EF071D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подразделением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смысле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</w:p>
    <w:p w14:paraId="194B891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адекватности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1D6FE5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политик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FE71D6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с)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надзора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соблюдением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параметры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автоматических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060BAB0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независимая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</w:p>
    <w:p w14:paraId="29E6C57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рекомендация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недостатков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532EDD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назначаемое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членов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исполнительного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DDAB84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консультации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вопросам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возникающим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время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установлением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изучением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оценкой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ADD5D75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начало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продолжительность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прекращение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повышенным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уровнем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делегирует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утверждения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руководителю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отделения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);</w:t>
      </w:r>
    </w:p>
    <w:p w14:paraId="0957122C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C60CC1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d)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88291B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e)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41C904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f)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письменно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результатах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6D74D6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g)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сотрудничает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аудита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целью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задач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CC24EC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h)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документами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555E03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санкционировании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работников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преднамеренно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охраны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компетентному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способствуют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A87A4B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94.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должен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подбора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знаниями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качествами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репутационными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навыками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эффективного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выполнения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0C6577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95.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подбора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95,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различные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аспекты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области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4176F4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вновь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принятого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важности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основных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программ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72144C2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„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первой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”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сотрудники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непосредственно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работающие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идентификации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непрерывному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счетов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имеющихся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обнаружение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показателей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сделках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подлежащих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FBA8D2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регулярное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обновление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обязанностей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2C6A78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новые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техники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методы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тенденции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A15B80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5)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уровень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E41405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график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обучения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адаптируются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индивидуальным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потребностям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84EB7CE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96.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обрабатывает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процессе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конфиденциальность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нормативных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защите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персональных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EEE1E05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XII</w:t>
      </w:r>
    </w:p>
    <w:p w14:paraId="50028AE5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 ПО ПРИМЕНЕНИЮ</w:t>
      </w:r>
    </w:p>
    <w:p w14:paraId="0C974E4F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 ОГРАНИЧИТЕЛЬНЫХ МЕР</w:t>
      </w:r>
    </w:p>
    <w:p w14:paraId="23A3DB6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97.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связанные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ценностей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генерируемых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находящимся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023F84B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98.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97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разрабатывает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5EF9503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мониторингу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сбору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хранении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актуализации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путем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использования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баз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согласно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25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марта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2016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1D86B78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проверки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выявления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операций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потенциальным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клиентам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заявителям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одноразовых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перевода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денежных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средств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543A96D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компетенция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внедрению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правил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международных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замораживанию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фондов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6B8D0A7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внутренние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процедуры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отчетности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5B2972C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99.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определении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числе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произведенного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находящегося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владении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контролируемом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совместно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последовательно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шаги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6024390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приказом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воздерживается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неопределенный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находящихся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этапе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подготовки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покушения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совершенных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пользу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выгоду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полностью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частично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являются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предметом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юридических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принадлежат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контролируются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прямо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косвенно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имени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указанию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таких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68AC45A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позднее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неопределенный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содержать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как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минимум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следующие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элементы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:</w:t>
      </w:r>
    </w:p>
    <w:p w14:paraId="33F96439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a)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фамилия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наименование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IDNO/IDNP,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существует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происхождения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страна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местонахождения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/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относится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0186B3E8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lastRenderedPageBreak/>
        <w:t xml:space="preserve">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сведения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валюта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получатель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;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назначение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т.д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27B06C8D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c)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ответственного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высшего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должностного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неопределенный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сделок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относящихся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идентифицированному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;</w:t>
      </w:r>
    </w:p>
    <w:p w14:paraId="36412994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3)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необходимости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принимает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дополнительные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платежи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осуществленные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третьим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увеличение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стоимости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идентифицированного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расширяет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воздержании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имущество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99, а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также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данном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факте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a) и 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99;</w:t>
      </w:r>
    </w:p>
    <w:p w14:paraId="7CE4D543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4)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применяемой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учитывая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требования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п. a) и b)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подп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. 2)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пункта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99;</w:t>
      </w:r>
    </w:p>
    <w:p w14:paraId="71D6603A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100.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сомнений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позволяют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иметь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твердой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убежденности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отношении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идентичности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включенной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список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упомянутый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(11)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статьи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34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№ 308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22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декабря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2017 г.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предотвращении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незамедлительно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срок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более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24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часов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Службу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483678B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101.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обеспечивает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постоянное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отслеживание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официальных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веб-страниц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Организации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объединенных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Европейского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Союза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Службы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безопасности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обеспечения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соответствующего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ограничительных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мер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к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лицам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группам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субъектам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вовлеченным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террористическую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деятельность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распространение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оружия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массового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поражения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CC12698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proofErr w:type="spellStart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Глава</w:t>
      </w:r>
      <w:proofErr w:type="spellEnd"/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XIII</w:t>
      </w:r>
    </w:p>
    <w:p w14:paraId="48F27E91" w14:textId="77777777" w:rsidR="00202E4F" w:rsidRPr="00202E4F" w:rsidRDefault="00202E4F" w:rsidP="00202E4F">
      <w:pPr>
        <w:spacing w:before="2" w:after="2"/>
        <w:ind w:firstLine="851"/>
        <w:jc w:val="center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b/>
          <w:bCs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ДРУГИЕ ПОЛОЖЕНИЯ</w:t>
      </w:r>
    </w:p>
    <w:p w14:paraId="19EE6981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102.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если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устанавливается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нарушение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положений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обязательств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предусмотренных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предупреждении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борьбе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отмыванием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денег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финансированием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терроризма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может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применить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санкции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в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соответствии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с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действующим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законодательством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6A5231C2" w14:textId="77777777" w:rsidR="00202E4F" w:rsidRPr="00202E4F" w:rsidRDefault="00202E4F" w:rsidP="00202E4F">
      <w:pPr>
        <w:spacing w:before="2" w:after="2"/>
        <w:ind w:firstLine="851"/>
        <w:jc w:val="both"/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</w:pPr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103.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применении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настоящего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Регламента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информирует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Национальный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Молдовы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о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подозрительных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действиях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и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случаях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мошенничества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которые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представляют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риск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для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безопасности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,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надлежащего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функционирования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или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репутации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 xml:space="preserve"> </w:t>
      </w:r>
      <w:proofErr w:type="spellStart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банка</w:t>
      </w:r>
      <w:proofErr w:type="spellEnd"/>
      <w:r w:rsidRPr="00202E4F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shd w:val="clear" w:color="auto" w:fill="FFFFFF"/>
          <w:lang w:val="ro-RO" w:eastAsia="ro-RO"/>
          <w14:ligatures w14:val="none"/>
        </w:rPr>
        <w:t>.</w:t>
      </w:r>
    </w:p>
    <w:p w14:paraId="3590A270" w14:textId="77777777" w:rsidR="00202E4F" w:rsidRPr="00202E4F" w:rsidRDefault="00202E4F" w:rsidP="006C0B77">
      <w:pPr>
        <w:spacing w:after="0"/>
        <w:ind w:firstLine="709"/>
        <w:jc w:val="both"/>
        <w:rPr>
          <w:rFonts w:asciiTheme="minorHAnsi" w:hAnsiTheme="minorHAnsi" w:cstheme="minorHAnsi"/>
          <w:color w:val="0000FF"/>
          <w:shd w:val="clear" w:color="auto" w:fill="FFFFFF"/>
          <w:lang w:val="ro-MD"/>
        </w:rPr>
      </w:pPr>
    </w:p>
    <w:p w14:paraId="1957408B" w14:textId="6B8DAF72" w:rsidR="00F12C76" w:rsidRPr="00202E4F" w:rsidRDefault="00202E4F" w:rsidP="006C0B77">
      <w:pPr>
        <w:spacing w:after="0"/>
        <w:ind w:firstLine="709"/>
        <w:jc w:val="both"/>
        <w:rPr>
          <w:rFonts w:asciiTheme="minorHAnsi" w:hAnsiTheme="minorHAnsi" w:cstheme="minorHAnsi"/>
          <w:lang w:val="ro-RO"/>
        </w:rPr>
      </w:pPr>
      <w:r w:rsidRPr="00202E4F">
        <w:rPr>
          <w:rFonts w:asciiTheme="minorHAnsi" w:hAnsiTheme="minorHAnsi" w:cstheme="minorHAnsi"/>
          <w:color w:val="0000FF"/>
          <w:shd w:val="clear" w:color="auto" w:fill="FFFFFF"/>
        </w:rPr>
        <w:t>приложение –</w:t>
      </w:r>
      <w:r w:rsidRPr="00202E4F">
        <w:rPr>
          <w:rFonts w:asciiTheme="minorHAnsi" w:hAnsiTheme="minorHAnsi" w:cstheme="minorHAnsi"/>
          <w:color w:val="333333"/>
          <w:shd w:val="clear" w:color="auto" w:fill="FFFFFF"/>
        </w:rPr>
        <w:t> </w:t>
      </w:r>
      <w:r w:rsidRPr="00202E4F">
        <w:rPr>
          <w:rStyle w:val="Emphasis"/>
          <w:rFonts w:asciiTheme="minorHAnsi" w:hAnsiTheme="minorHAnsi" w:cstheme="minorHAnsi"/>
          <w:color w:val="FF0000"/>
          <w:shd w:val="clear" w:color="auto" w:fill="FFFFFF"/>
        </w:rPr>
        <w:t>утратило силу</w:t>
      </w:r>
    </w:p>
    <w:sectPr w:rsidR="00F12C76" w:rsidRPr="00202E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1C"/>
    <w:rsid w:val="00202E4F"/>
    <w:rsid w:val="0053011C"/>
    <w:rsid w:val="005A4A92"/>
    <w:rsid w:val="006C0B77"/>
    <w:rsid w:val="008242FF"/>
    <w:rsid w:val="00870751"/>
    <w:rsid w:val="00922C48"/>
    <w:rsid w:val="00B915B7"/>
    <w:rsid w:val="00EA59DF"/>
    <w:rsid w:val="00EE4070"/>
    <w:rsid w:val="00F12C76"/>
    <w:rsid w:val="00F7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93BE"/>
  <w15:chartTrackingRefBased/>
  <w15:docId w15:val="{0688B3E8-83B5-42AE-81E3-1C2727A9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1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1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1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1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1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1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1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1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1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1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11C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1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11C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1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11C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0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1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11C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30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1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1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1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3011C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02E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https://www.legis.md/cautare/getResults?doc_id=146744&amp;lang=ru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14171</Words>
  <Characters>82195</Characters>
  <Application>Microsoft Office Word</Application>
  <DocSecurity>0</DocSecurity>
  <Lines>684</Lines>
  <Paragraphs>192</Paragraphs>
  <ScaleCrop>false</ScaleCrop>
  <Company>Banca Nationala a Moldovei</Company>
  <LinksUpToDate>false</LinksUpToDate>
  <CharactersWithSpaces>96174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2025-01-29T09:00:00Z</dcterms:created>
  <dcterms:modified xsi:type="dcterms:W3CDTF">2025-01-29T09:04:00Z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2025-01-29T09:01:01Z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69313ec3-3308-44ad-b504-6074c59f3175</vt:lpwstr>
  </property>
  <property fmtid="{D5CDD505-2E9C-101B-9397-08002B2CF9AE}" pid="8" name="MSIP_Label_38962dcf-d39f-4edc-a396-338a56ba9170_ContentBits">
    <vt:lpwstr>0</vt:lpwstr>
  </property>
</Properties>
</file>